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6E805" w14:textId="77777777" w:rsidR="00905888" w:rsidRDefault="00000000">
      <w:pPr>
        <w:suppressAutoHyphens/>
        <w:spacing w:before="130" w:after="130" w:line="240" w:lineRule="auto"/>
        <w:jc w:val="center"/>
      </w:pPr>
      <w:r>
        <w:rPr>
          <w:rFonts w:ascii="Helvetica" w:eastAsia="Helvetica" w:hAnsi="Helvetica" w:cs="Helvetica"/>
          <w:b/>
          <w:caps/>
        </w:rPr>
        <w:t>Rozporządzenie Ministra Rolnictwa i Rozwoju Wsi w sprawie środków podejmowanych w związku z wystąpieniem rzekomego pomoru drobiu</w:t>
      </w:r>
    </w:p>
    <w:p w14:paraId="6BFFFC7A" w14:textId="77777777" w:rsidR="00905888" w:rsidRDefault="00000000">
      <w:pPr>
        <w:jc w:val="both"/>
      </w:pPr>
      <w:r>
        <w:rPr>
          <w:rStyle w:val="Odwoanieprzypisudolnego"/>
        </w:rPr>
        <w:footnoteReference w:id="1"/>
      </w:r>
    </w:p>
    <w:p w14:paraId="5685CD67" w14:textId="77777777" w:rsidR="00905888" w:rsidRDefault="00000000">
      <w:pPr>
        <w:suppressAutoHyphens/>
        <w:spacing w:before="130" w:after="130" w:line="240" w:lineRule="auto"/>
        <w:jc w:val="center"/>
      </w:pPr>
      <w:r>
        <w:rPr>
          <w:rFonts w:ascii="Helvetica" w:eastAsia="Helvetica" w:hAnsi="Helvetica" w:cs="Helvetica"/>
          <w:b/>
          <w:sz w:val="18"/>
        </w:rPr>
        <w:t>z dnia 25 kwietnia 2025 r. (Dz.U. z 2025 r. poz. 564)</w:t>
      </w:r>
    </w:p>
    <w:p w14:paraId="6625D6A3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sz w:val="18"/>
        </w:rPr>
        <w:t>Na podstawie art. 47 ust. 1 ustawy z dnia 11 marca 2004 r. o ochronie zdrowia zwierząt oraz zwalczaniu chorób zakaźnych zwierząt (Dz.U. z 2023 r. poz. 1075) zarządza się, co następuje:</w:t>
      </w:r>
    </w:p>
    <w:p w14:paraId="54A80C79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b/>
          <w:sz w:val="18"/>
        </w:rPr>
        <w:t>§ 1</w:t>
      </w:r>
    </w:p>
    <w:p w14:paraId="4DF34EF4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sz w:val="18"/>
        </w:rPr>
        <w:t>1. W związku z wystąpieniem rzekomego pomoru drobiu na terytorium Rzeczypospolitej Polskiej we wszystkich gospodarstwach utrzymujących drób:</w:t>
      </w:r>
    </w:p>
    <w:p w14:paraId="0A28CE0C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1) zakazuje się:</w:t>
      </w:r>
    </w:p>
    <w:p w14:paraId="5A7548F2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a) pojenia drobiu i ptaków utrzymywanych przez człowieka wodą ze zbiorników, w tym z wód powierzchniowych, do których mają dostęp dzikie ptaki,</w:t>
      </w:r>
    </w:p>
    <w:p w14:paraId="607C5AA8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b) wnoszenia i wwożenia na teren gospodarstwa, w którym jest utrzymywany drób, zwłok dzikich ptaków lub tusz ptaków łownych;</w:t>
      </w:r>
    </w:p>
    <w:p w14:paraId="1DAECAB5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2) nakazuje się:</w:t>
      </w:r>
    </w:p>
    <w:p w14:paraId="55A335E7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a) utrzymywanie drobiu w sposób wykluczający jego dostęp do zbiorników wodnych, do których mają dostęp dzikie ptaki,</w:t>
      </w:r>
    </w:p>
    <w:p w14:paraId="7157C8F0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b) zgłaszanie do powiatowego lekarza weterynarii miejsc, w których są utrzymywane drób lub inne ptaki, z wyłączeniem ptaków utrzymywanych stale w pomieszczeniach mieszkalnych,</w:t>
      </w:r>
    </w:p>
    <w:p w14:paraId="4FC4A037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 xml:space="preserve">c) utrzymywanie drobiu, z wyłączeniem kaczek, gęsi, ptaków </w:t>
      </w:r>
      <w:proofErr w:type="spellStart"/>
      <w:r>
        <w:rPr>
          <w:rFonts w:ascii="Helvetica" w:eastAsia="Helvetica" w:hAnsi="Helvetica" w:cs="Helvetica"/>
          <w:sz w:val="18"/>
        </w:rPr>
        <w:t>bezgrzebieniowych</w:t>
      </w:r>
      <w:proofErr w:type="spellEnd"/>
      <w:r>
        <w:rPr>
          <w:rFonts w:ascii="Helvetica" w:eastAsia="Helvetica" w:hAnsi="Helvetica" w:cs="Helvetica"/>
          <w:sz w:val="18"/>
        </w:rPr>
        <w:t xml:space="preserve"> i kurcząt ras </w:t>
      </w:r>
      <w:proofErr w:type="spellStart"/>
      <w:r>
        <w:rPr>
          <w:rFonts w:ascii="Helvetica" w:eastAsia="Helvetica" w:hAnsi="Helvetica" w:cs="Helvetica"/>
          <w:sz w:val="18"/>
        </w:rPr>
        <w:t>wolnorosnących</w:t>
      </w:r>
      <w:proofErr w:type="spellEnd"/>
      <w:r>
        <w:rPr>
          <w:rFonts w:ascii="Helvetica" w:eastAsia="Helvetica" w:hAnsi="Helvetica" w:cs="Helvetica"/>
          <w:sz w:val="18"/>
        </w:rPr>
        <w:t>, w izolacji od dzikich ptaków,</w:t>
      </w:r>
    </w:p>
    <w:p w14:paraId="45432FBA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d) przechowywanie paszy i ściółki dla drobiu i ptaków utrzymywanych przez człowieka w sposób, który zabezpiecza je przed kontaktem z gryzoniami i dzikimi ptakami oraz z ich odchodami,</w:t>
      </w:r>
    </w:p>
    <w:p w14:paraId="3D8AD2EE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e) karmienie i pojenie drobiu i ptaków utrzymywanych przez człowieka w zamkniętym pomieszczeniu lub w osłoniętym miejscu w sposób, który zabezpiecza paszę i wodę przed dostępem dzikich ptaków oraz przed ich odchodami,</w:t>
      </w:r>
    </w:p>
    <w:p w14:paraId="11CABE91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f) umieszczanie gniazd dla drobiu wewnątrz budynków,</w:t>
      </w:r>
    </w:p>
    <w:p w14:paraId="29FD8CCE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g) powstrzymanie się przez osoby, które w okresie ostatnich 48 godzin uczestniczyły w polowaniu na ptaki łowne, od wykonywania czynności związanych z utrzymywaniem drobiu,</w:t>
      </w:r>
    </w:p>
    <w:p w14:paraId="7F0F834A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h) dokonywanie codziennego przeglądu drobiu oraz prowadzenie dokumentacji zawierającej informacje o wystąpieniu u drobiu objawów klinicznych, o których mowa w ust. 4.</w:t>
      </w:r>
    </w:p>
    <w:p w14:paraId="112CA087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sz w:val="18"/>
        </w:rPr>
        <w:t>2. W gospodarstwie utrzymującym drób prowadzącym działalność nadzorowaną, o której mowa w art. 1 pkt 1 lit. n ustawy z dnia 11 marca 2004 r. o ochronie zdrowia zwierząt oraz zwalczaniu chorób zakaźnych zwierząt, nakazuje się ponadto:</w:t>
      </w:r>
    </w:p>
    <w:p w14:paraId="78170B38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1) wyposażenie tego gospodarstwa w maty dezynfekcyjne w liczbie zapewniającej możliwość ich wyłożenia przed:</w:t>
      </w:r>
    </w:p>
    <w:p w14:paraId="27165BAE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a) wejściami do budynków, w których jest utrzymywany drób, i wyjściami z tych budynków albo zastosowanie w tym gospodarstwie innych rozwiązań technicznych pozwalających na oczyszczenie i odkażenie obuwia przed wejściami do tych budynków i wyjściami z nich,</w:t>
      </w:r>
    </w:p>
    <w:p w14:paraId="1FC7F143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lastRenderedPageBreak/>
        <w:t>b) wjazdami do tego gospodarstwa i wyjazdami z niego albo zainstalowanie w tym gospodarstwie niecek dezynfekcyjnych lub innych urządzeń zapewniających dezynfekcję kół pojazdów wjeżdżających do tego gospodarstwa lub z niego wyjeżdżających</w:t>
      </w:r>
    </w:p>
    <w:p w14:paraId="547F6304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– przy czym szerokość tych mat albo tych niecek nie powinna być mniejsza niż szerokość wjazdów do tego gospodarstwa i wyjazdów z niego, a ich długość – nie mniejsza niż obwód największego koła środka transportu wjeżdżającego do tego gospodarstwa lub z niego wyjeżdżającego;</w:t>
      </w:r>
    </w:p>
    <w:p w14:paraId="36067BD4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2) osobom wchodzącym do budynków, w których jest utrzymywany drób:</w:t>
      </w:r>
    </w:p>
    <w:p w14:paraId="31C932A8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a) stosowanie środków bezpieczeństwa biologicznego i ochrony osobistej, w tym odzieży ochronnej oraz obuwia ochronnego przeznaczonych do użytku wyłącznie w danym budynku,</w:t>
      </w:r>
    </w:p>
    <w:p w14:paraId="0EA92B2E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b) oczyszczanie i odkażanie obuwia,</w:t>
      </w:r>
    </w:p>
    <w:p w14:paraId="0AEA3684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c) mycie i odkażanie rąk;</w:t>
      </w:r>
    </w:p>
    <w:p w14:paraId="563A1F46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3) oczyszczanie i odkażanie sprzętu i narzędzi używanych do utrzymywania drobiu przed każdym ich użyciem, a jeżeli są używane wyłącznie w danym budynku – co najmniej raz dziennie;</w:t>
      </w:r>
    </w:p>
    <w:p w14:paraId="0ECE988C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4) prowadzenie i przechowywanie w tym gospodarstwie przez rok dokumentacji dotyczącej zakupu, przyjęcia i zużycia środków odkażających, a także wskazującej termin wykonania deratyzacji i dezynfekcji, datę padnięcia drobiu oraz liczbę zwłok padłego drobiu przekazanych do unieszkodliwienia;</w:t>
      </w:r>
    </w:p>
    <w:p w14:paraId="26BEFDB7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5) wdrożenie procedur w zakresie zapobiegania przedostawaniu się dzikiego ptactwa do budynków, w których jest utrzymywany drób, i do miejsc przechowywania paszy i ściółki oraz w zakresie przeprowadzania deratyzacji i dezynsekcji;</w:t>
      </w:r>
    </w:p>
    <w:p w14:paraId="08181A91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6) prowadzenie rejestru środków transportu do przewozu drobiu, jaj, paszy lub produktów ubocznych pochodzenia zwierzęcego w rozumieniu art. 3 pkt 1 rozporządzenia Parlamentu Europejskiego i Rady (WE) nr 1069/2009 z dnia 21 października 2009 r. określającego przepisy sanitarne dotyczące produktów ubocznych pochodzenia zwierzęcego i produktów pochodnych, nieprzeznaczonych do spożycia przez ludzi, i uchylającego rozporządzenie (WE) nr 1774/2002 (rozporządzenie o produktach ubocznych pochodzenia zwierzęcego) (</w:t>
      </w:r>
      <w:proofErr w:type="spellStart"/>
      <w:r>
        <w:rPr>
          <w:rFonts w:ascii="Helvetica" w:eastAsia="Helvetica" w:hAnsi="Helvetica" w:cs="Helvetica"/>
          <w:sz w:val="18"/>
        </w:rPr>
        <w:t>Dz.Urz</w:t>
      </w:r>
      <w:proofErr w:type="spellEnd"/>
      <w:r>
        <w:rPr>
          <w:rFonts w:ascii="Helvetica" w:eastAsia="Helvetica" w:hAnsi="Helvetica" w:cs="Helvetica"/>
          <w:sz w:val="18"/>
        </w:rPr>
        <w:t>. UE L 300 z 14.11.2009, str. 1, z </w:t>
      </w:r>
      <w:proofErr w:type="spellStart"/>
      <w:r>
        <w:rPr>
          <w:rFonts w:ascii="Helvetica" w:eastAsia="Helvetica" w:hAnsi="Helvetica" w:cs="Helvetica"/>
          <w:sz w:val="18"/>
        </w:rPr>
        <w:t>późn</w:t>
      </w:r>
      <w:proofErr w:type="spellEnd"/>
      <w:r>
        <w:rPr>
          <w:rFonts w:ascii="Helvetica" w:eastAsia="Helvetica" w:hAnsi="Helvetica" w:cs="Helvetica"/>
          <w:sz w:val="18"/>
        </w:rPr>
        <w:t>. zm.</w:t>
      </w:r>
      <w:r>
        <w:rPr>
          <w:rStyle w:val="Odwoanieprzypisudolnego"/>
        </w:rPr>
        <w:footnoteReference w:id="2"/>
      </w:r>
      <w:r>
        <w:rPr>
          <w:rFonts w:ascii="Helvetica" w:eastAsia="Helvetica" w:hAnsi="Helvetica" w:cs="Helvetica"/>
          <w:sz w:val="18"/>
        </w:rPr>
        <w:t>) wjeżdżających na teren tego gospodarstwa oraz prowadzenie rejestru wejść osób do pomieszczeń, w których jest utrzymywany drób;</w:t>
      </w:r>
    </w:p>
    <w:p w14:paraId="1FBFF249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7) wyposażenie tego gospodarstwa w przeznaczony wyłącznie do użytku przez to gospodarstwo kontener do przetrzymywania zwłok padłego drobiu lub wydzielenie w tym gospodarstwie pomieszczenia przeznaczonego wyłącznie do przetrzymywania takich zwłok; ten kontener i to pomieszczenie zabezpiecza się przed dostępem gryzoni, zwierząt domowych i dzikich;</w:t>
      </w:r>
    </w:p>
    <w:p w14:paraId="21BEAA8C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8) usuwanie padłego drobiu do kontenera lub pomieszczenia przeznaczonych do przetrzymywania zwłok padłego drobiu – nie rzadziej niż raz dziennie;</w:t>
      </w:r>
    </w:p>
    <w:p w14:paraId="2AA17009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9) wyposażenie tego gospodarstwa w środki odkażające w ilości umożliwiającej przeprowadzanie bieżącej dezynfekcji co najmniej przez 7 dni oraz utrzymywanie mat dezynfekcyjnych albo niecek dezynfekcyjnych lub innych urządzeń zapewniających dezynfekcję w stanie zapewniającym skuteczność użytego środka odkażającego;</w:t>
      </w:r>
    </w:p>
    <w:p w14:paraId="0E53E56F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10) zabezpieczenie zbiorników wodnych znajdujących się na terenie tego gospodarstwa przed dostępem ptaków wolno żyjących;</w:t>
      </w:r>
    </w:p>
    <w:p w14:paraId="439596D6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11) utrzymywanie czystości i porządku wokół budynków, w których jest utrzymywany drób, oraz miejsc, w których są przechowywane pasza i ściółka, w tym regularne wykaszanie roślinności i uprzątanie pozostałości pasz i ściółki;</w:t>
      </w:r>
    </w:p>
    <w:p w14:paraId="5CC85C78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12) wyposażenie tego gospodarstwa w wydzielone miejsca do:</w:t>
      </w:r>
    </w:p>
    <w:p w14:paraId="0D904170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a) składowania środków odkażających, a także zabezpieczenie tych miejsc przed dostępem osób nieupoważnionych,</w:t>
      </w:r>
    </w:p>
    <w:p w14:paraId="722B10FE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b) składowania obornika, paszy i ściółki,</w:t>
      </w:r>
    </w:p>
    <w:p w14:paraId="7937E006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lastRenderedPageBreak/>
        <w:t>c) przetrzymywania produktów leczniczych weterynaryjnych, a w tych miejscach zapewnia się warunki gwarantujące niezmieniony stan tych produktów i zabezpiecza się te miejsca przed dostępem osób nieupoważnionych;</w:t>
      </w:r>
    </w:p>
    <w:p w14:paraId="6F9A3AD7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 xml:space="preserve">13) w przypadku gdy w tym gospodarstwie utrzymuje się więcej niż 350 sztuk drobiu średniorocznie – opracowanie i wdrożenie planu </w:t>
      </w:r>
      <w:proofErr w:type="spellStart"/>
      <w:r>
        <w:rPr>
          <w:rFonts w:ascii="Helvetica" w:eastAsia="Helvetica" w:hAnsi="Helvetica" w:cs="Helvetica"/>
          <w:sz w:val="18"/>
        </w:rPr>
        <w:t>bioasekuracji</w:t>
      </w:r>
      <w:proofErr w:type="spellEnd"/>
      <w:r>
        <w:rPr>
          <w:rFonts w:ascii="Helvetica" w:eastAsia="Helvetica" w:hAnsi="Helvetica" w:cs="Helvetica"/>
          <w:sz w:val="18"/>
        </w:rPr>
        <w:t xml:space="preserve"> uwzględniającego profil produkcji tego gospodarstwa i obejmującego co najmniej:</w:t>
      </w:r>
    </w:p>
    <w:p w14:paraId="0AD04345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a) ustanowienie „czystych” i „brudnych” stref dla osób wykonujących czynności związane z utrzymywaniem drobiu,</w:t>
      </w:r>
    </w:p>
    <w:p w14:paraId="72B1569A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b) rozwiązania dotyczące sposobu wprowadzania do tego gospodarstwa drobiu, pasz, ściółki, materiałów pomocniczych oraz sprzętu i urządzeń wykorzystywanych w chowie i hodowli drobiu,</w:t>
      </w:r>
    </w:p>
    <w:p w14:paraId="1854360D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c) procedury dotyczące czyszczenia i dezynfekcji pomieszczeń, środków transportu i wyposażenia oraz dotyczące higieny osób wykonujących czynności związane z utrzymywaniem drobiu,</w:t>
      </w:r>
    </w:p>
    <w:p w14:paraId="71AA5DF9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d) procedury w zakresie zwalczania szkodników,</w:t>
      </w:r>
    </w:p>
    <w:p w14:paraId="2FE3FDB6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e) rozwiązania mające na celu rozdzielenie poszczególnych stad drobiu utrzymywanych w tym gospodarstwie oraz uniknięcie bezpośredniego lub pośredniego kontaktu utrzymywanego drobiu z produktami ubocznymi pochodzenia zwierzęcego w rozumieniu art. 3 pkt 1 rozporządzenia Parlamentu Europejskiego i Rady (WE) nr 1069/2009 z dnia 21 października 2009 r. określającego przepisy sanitarne dotyczące produktów ubocznych pochodzenia zwierzęcego i produktów pochodnych, nieprzeznaczonych do spożycia przez ludzi, i uchylającego rozporządzenie (WE) nr 1774/2002 (rozporządzenie o produktach ubocznych pochodzenia zwierzęcego),</w:t>
      </w:r>
    </w:p>
    <w:p w14:paraId="58890A74" w14:textId="77777777" w:rsidR="00905888" w:rsidRDefault="00000000">
      <w:pPr>
        <w:spacing w:before="130" w:after="130" w:line="240" w:lineRule="auto"/>
        <w:ind w:left="440"/>
        <w:jc w:val="both"/>
      </w:pPr>
      <w:r>
        <w:rPr>
          <w:rFonts w:ascii="Helvetica" w:eastAsia="Helvetica" w:hAnsi="Helvetica" w:cs="Helvetica"/>
          <w:sz w:val="18"/>
        </w:rPr>
        <w:t>f) opis programu szczepień kur lub indyków przeciwko rzekomemu pomorowi drobiu opracowanego przez podmiot świadczący usługi z zakresu medycyny weterynaryjnej w danym gospodarstwie, który uwzględnia:</w:t>
      </w:r>
    </w:p>
    <w:p w14:paraId="1C62EE17" w14:textId="77777777" w:rsidR="00905888" w:rsidRDefault="00000000">
      <w:pPr>
        <w:spacing w:before="130" w:after="130" w:line="240" w:lineRule="auto"/>
        <w:ind w:left="660"/>
        <w:jc w:val="both"/>
      </w:pPr>
      <w:r>
        <w:rPr>
          <w:rFonts w:ascii="Helvetica" w:eastAsia="Helvetica" w:hAnsi="Helvetica" w:cs="Helvetica"/>
          <w:sz w:val="18"/>
        </w:rPr>
        <w:t>– wiek kur lub indyków,</w:t>
      </w:r>
    </w:p>
    <w:p w14:paraId="1A54BC0E" w14:textId="77777777" w:rsidR="00905888" w:rsidRDefault="00000000">
      <w:pPr>
        <w:spacing w:before="130" w:after="130" w:line="240" w:lineRule="auto"/>
        <w:ind w:left="660"/>
        <w:jc w:val="both"/>
      </w:pPr>
      <w:r>
        <w:rPr>
          <w:rFonts w:ascii="Helvetica" w:eastAsia="Helvetica" w:hAnsi="Helvetica" w:cs="Helvetica"/>
          <w:sz w:val="18"/>
        </w:rPr>
        <w:t>– kategorie produkcyjne kur lub indyków,</w:t>
      </w:r>
    </w:p>
    <w:p w14:paraId="3FBF1471" w14:textId="77777777" w:rsidR="00905888" w:rsidRDefault="00000000">
      <w:pPr>
        <w:spacing w:before="130" w:after="130" w:line="240" w:lineRule="auto"/>
        <w:ind w:left="660"/>
        <w:jc w:val="both"/>
      </w:pPr>
      <w:r>
        <w:rPr>
          <w:rFonts w:ascii="Helvetica" w:eastAsia="Helvetica" w:hAnsi="Helvetica" w:cs="Helvetica"/>
          <w:sz w:val="18"/>
        </w:rPr>
        <w:t>– nazwę i rodzaj szczepionki oraz sposób jej podania,</w:t>
      </w:r>
    </w:p>
    <w:p w14:paraId="20800519" w14:textId="77777777" w:rsidR="00905888" w:rsidRDefault="00000000">
      <w:pPr>
        <w:spacing w:before="130" w:after="130" w:line="240" w:lineRule="auto"/>
        <w:ind w:left="660"/>
        <w:jc w:val="both"/>
      </w:pPr>
      <w:r>
        <w:rPr>
          <w:rFonts w:ascii="Helvetica" w:eastAsia="Helvetica" w:hAnsi="Helvetica" w:cs="Helvetica"/>
          <w:sz w:val="18"/>
        </w:rPr>
        <w:t>– schemat przeprowadzania tych szczepień,</w:t>
      </w:r>
    </w:p>
    <w:p w14:paraId="6A5065F3" w14:textId="77777777" w:rsidR="00905888" w:rsidRDefault="00000000">
      <w:pPr>
        <w:spacing w:before="130" w:after="130" w:line="240" w:lineRule="auto"/>
        <w:ind w:left="660"/>
        <w:jc w:val="both"/>
      </w:pPr>
      <w:r>
        <w:rPr>
          <w:rFonts w:ascii="Helvetica" w:eastAsia="Helvetica" w:hAnsi="Helvetica" w:cs="Helvetica"/>
          <w:sz w:val="18"/>
        </w:rPr>
        <w:t>– sposób monitorowania skuteczności tego programu.</w:t>
      </w:r>
    </w:p>
    <w:p w14:paraId="2963FB43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sz w:val="18"/>
        </w:rPr>
        <w:t>3. W gospodarstwie utrzymującym drób, z wyłączeniem indyków, kaczek i gęsi, położonym na obszarze zapowietrzonym, w przypadku gdy prowadzi działalność określoną w ust. 2, oprócz zakazów i nakazów, o których mowa w ust. 1, i nakazów, o których mowa w ust. 2, nakazuje się stosowanie zasady „cały kurnik pełny albo cały kurnik pusty”.</w:t>
      </w:r>
    </w:p>
    <w:p w14:paraId="7BAB06F6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sz w:val="18"/>
        </w:rPr>
        <w:t>4. Posiadacz drobiu niezwłocznie zawiadamia organ Inspekcji Weterynaryjnej albo najbliższy podmiot świadczący usługi z zakresu medycyny weterynaryjnej o wystąpieniu u drobiu następujących objawów klinicznych:</w:t>
      </w:r>
    </w:p>
    <w:p w14:paraId="6B371276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1) zwiększonej śmiertelności;</w:t>
      </w:r>
    </w:p>
    <w:p w14:paraId="3ACC25E3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2) spadku pobierania paszy i wody;</w:t>
      </w:r>
    </w:p>
    <w:p w14:paraId="44D65A65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3) objawów nerwowych, takich jak: drgawki, skręty szyi, paraliż nóg i skrzydeł lub niezborność ruchów;</w:t>
      </w:r>
    </w:p>
    <w:p w14:paraId="6E56A1DD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4) duszności;</w:t>
      </w:r>
    </w:p>
    <w:p w14:paraId="0C8C9EF0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5) sinicy i wybroczyn;</w:t>
      </w:r>
    </w:p>
    <w:p w14:paraId="09BA1636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6) biegunki;</w:t>
      </w:r>
    </w:p>
    <w:p w14:paraId="42F2D1DC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7) nagłego spadku nieśności;</w:t>
      </w:r>
    </w:p>
    <w:p w14:paraId="7869C042" w14:textId="77777777" w:rsidR="00905888" w:rsidRDefault="00000000">
      <w:pPr>
        <w:spacing w:before="130" w:after="130" w:line="240" w:lineRule="auto"/>
        <w:ind w:left="220"/>
        <w:jc w:val="both"/>
      </w:pPr>
      <w:r>
        <w:rPr>
          <w:rFonts w:ascii="Helvetica" w:eastAsia="Helvetica" w:hAnsi="Helvetica" w:cs="Helvetica"/>
          <w:sz w:val="18"/>
        </w:rPr>
        <w:t>8) zwiększonego występowania jaj o nieprawidłowej budowie, w tym o deformacji skorup lub o składaniu jaj bez skorup.</w:t>
      </w:r>
    </w:p>
    <w:p w14:paraId="0C018DEE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b/>
          <w:sz w:val="18"/>
        </w:rPr>
        <w:t>§ 2</w:t>
      </w:r>
    </w:p>
    <w:p w14:paraId="32AE90F2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sz w:val="18"/>
        </w:rPr>
        <w:t>1. Nakazuje się szczepienie przeciwko rzekomemu pomorowi drobiu kur i indyków utrzymywanych w:</w:t>
      </w:r>
    </w:p>
    <w:p w14:paraId="6DFB5134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sz w:val="18"/>
        </w:rPr>
        <w:t>1) gospodarstwach, o których mowa w § 1 ust. 2;</w:t>
      </w:r>
    </w:p>
    <w:p w14:paraId="5D67280F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sz w:val="18"/>
        </w:rPr>
        <w:t>2) zakładach wylęgu drobiu przed opuszczeniem przez te ptaki tego zakładu.</w:t>
      </w:r>
    </w:p>
    <w:p w14:paraId="59789E24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sz w:val="18"/>
        </w:rPr>
        <w:t>2. W przypadku gdy w gospodarstwie, o którym mowa w § 1 ust. 2, utrzymuje się do 350 sztuk drobiu średniorocznie, szczepienie przeciwko rzekomemu pomorowi drobiu kur i indyków przeprowadza się zgodnie z charakterystyką produktu leczniczego weterynaryjnego stosowanego do tego szczepienia.</w:t>
      </w:r>
    </w:p>
    <w:p w14:paraId="0357AAFE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b/>
          <w:sz w:val="18"/>
        </w:rPr>
        <w:lastRenderedPageBreak/>
        <w:t>§ 3</w:t>
      </w:r>
    </w:p>
    <w:p w14:paraId="55477291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sz w:val="18"/>
        </w:rPr>
        <w:t>1. W gospodarstwach, o których mowa w § 1 ust. 2, nakazuje się przeprowadzenie u kur i indyków zaszczepionych przeciwko rzekomemu pomorowi drobiu badania laboratoryjnego poziomu przeciwciał zabezpieczających te ptaki przed rzekomym pomorem drobiu w celu oceny skuteczności programu szczepień, o którym mowa w § 1 ust. 2 pkt 13 lit. f.</w:t>
      </w:r>
    </w:p>
    <w:p w14:paraId="31030988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sz w:val="18"/>
        </w:rPr>
        <w:t>2. Badanie, o którym mowa w ust. 1, przeprowadza się w laboratoriach urzędowych, o których mowa w art. 25 ust. 2 pkt 1 ustawy z dnia 29 stycznia 2004 r. o Inspekcji Weterynaryjnej (Dz.U. z 2024 r. poz. 12).</w:t>
      </w:r>
    </w:p>
    <w:p w14:paraId="5C916C9D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sz w:val="18"/>
        </w:rPr>
        <w:t>3. Wynik badania, o którym mowa w ust. 1, posiadacz kur lub indyków przechowuje przez 3 lata od dnia przeprowadzenia tego badania.</w:t>
      </w:r>
    </w:p>
    <w:p w14:paraId="5200A471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b/>
          <w:sz w:val="18"/>
        </w:rPr>
        <w:t>§ 4</w:t>
      </w:r>
      <w:r>
        <w:rPr>
          <w:rFonts w:ascii="Helvetica" w:eastAsia="Helvetica" w:hAnsi="Helvetica" w:cs="Helvetica"/>
          <w:sz w:val="18"/>
        </w:rPr>
        <w:t xml:space="preserve"> Zakazuje się wprowadzania do:</w:t>
      </w:r>
    </w:p>
    <w:p w14:paraId="7DB161FB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sz w:val="18"/>
        </w:rPr>
        <w:t>1) gospodarstw, o których mowa w § 1 ust. 1, i wyprowadzania z tych gospodarstw kur i indyków niezaszczepionych przeciwko rzekomemu pomorowi drobiu;</w:t>
      </w:r>
    </w:p>
    <w:p w14:paraId="1908DFB5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sz w:val="18"/>
        </w:rPr>
        <w:t>2) zakładów wylęgu drobiu jaj wylęgowych pochodzących od kur i indyków niezaszczepionych przeciwko rzekomemu pomorowi drobiu.</w:t>
      </w:r>
    </w:p>
    <w:p w14:paraId="047AF09C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b/>
          <w:sz w:val="18"/>
        </w:rPr>
        <w:t>§ 5</w:t>
      </w:r>
      <w:r>
        <w:rPr>
          <w:rFonts w:ascii="Helvetica" w:eastAsia="Helvetica" w:hAnsi="Helvetica" w:cs="Helvetica"/>
          <w:sz w:val="18"/>
        </w:rPr>
        <w:t xml:space="preserve"> Jeżeli wyniki badań laboratoryjnych próbek pobranych przez powiatowego lekarza weterynarii od kur lub indyków utrzymywanych w gospodarstwach, o których mowa w § 1 ust. 2, wskazują, że poziom przeciwciał u tych ptaków jest niewystarczający do zapewnienia im odporności, nakazuje się dokonanie modyfikacji planu </w:t>
      </w:r>
      <w:proofErr w:type="spellStart"/>
      <w:r>
        <w:rPr>
          <w:rFonts w:ascii="Helvetica" w:eastAsia="Helvetica" w:hAnsi="Helvetica" w:cs="Helvetica"/>
          <w:sz w:val="18"/>
        </w:rPr>
        <w:t>bioasekuracji</w:t>
      </w:r>
      <w:proofErr w:type="spellEnd"/>
      <w:r>
        <w:rPr>
          <w:rFonts w:ascii="Helvetica" w:eastAsia="Helvetica" w:hAnsi="Helvetica" w:cs="Helvetica"/>
          <w:sz w:val="18"/>
        </w:rPr>
        <w:t xml:space="preserve"> w zakresie programu szczepień, o którym mowa w § 1 ust. 2 pkt 13 lit. f, zgodnie z zaleceniami powiatowego lekarza weterynarii.</w:t>
      </w:r>
    </w:p>
    <w:p w14:paraId="7B6D3994" w14:textId="77777777" w:rsidR="00905888" w:rsidRDefault="00000000">
      <w:pPr>
        <w:spacing w:before="130" w:after="130" w:line="240" w:lineRule="auto"/>
        <w:jc w:val="both"/>
      </w:pPr>
      <w:r>
        <w:rPr>
          <w:rFonts w:ascii="Helvetica" w:eastAsia="Helvetica" w:hAnsi="Helvetica" w:cs="Helvetica"/>
          <w:b/>
          <w:sz w:val="18"/>
        </w:rPr>
        <w:t>§ 6</w:t>
      </w:r>
      <w:r>
        <w:rPr>
          <w:rFonts w:ascii="Helvetica" w:eastAsia="Helvetica" w:hAnsi="Helvetica" w:cs="Helvetica"/>
          <w:sz w:val="18"/>
        </w:rPr>
        <w:t xml:space="preserve"> Rozporządzenie wchodzi w życie z dniem następującym po dniu ogłoszenia, z wyjątkiem § 2–5, które wchodzą w życie po upływie 14 dni od dnia ogłoszenia.</w:t>
      </w:r>
    </w:p>
    <w:sectPr w:rsidR="00905888">
      <w:footerReference w:type="default" r:id="rId6"/>
      <w:type w:val="nextColumn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752AC" w14:textId="77777777" w:rsidR="001F64AD" w:rsidRDefault="001F64AD">
      <w:pPr>
        <w:spacing w:after="0" w:line="240" w:lineRule="auto"/>
      </w:pPr>
      <w:r>
        <w:separator/>
      </w:r>
    </w:p>
  </w:endnote>
  <w:endnote w:type="continuationSeparator" w:id="0">
    <w:p w14:paraId="18387316" w14:textId="77777777" w:rsidR="001F64AD" w:rsidRDefault="001F6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BEA73" w14:textId="77777777" w:rsidR="00905888" w:rsidRDefault="00000000">
    <w:proofErr w:type="spellStart"/>
    <w:r>
      <w:t>Legalis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12758" w14:textId="77777777" w:rsidR="001F64AD" w:rsidRDefault="001F64AD">
      <w:pPr>
        <w:spacing w:after="0" w:line="240" w:lineRule="auto"/>
      </w:pPr>
      <w:r>
        <w:separator/>
      </w:r>
    </w:p>
  </w:footnote>
  <w:footnote w:type="continuationSeparator" w:id="0">
    <w:p w14:paraId="75F2E32A" w14:textId="77777777" w:rsidR="001F64AD" w:rsidRDefault="001F64AD">
      <w:pPr>
        <w:spacing w:after="0" w:line="240" w:lineRule="auto"/>
      </w:pPr>
      <w:r>
        <w:continuationSeparator/>
      </w:r>
    </w:p>
  </w:footnote>
  <w:footnote w:id="1">
    <w:p w14:paraId="7BD0E907" w14:textId="77777777" w:rsidR="00905888" w:rsidRDefault="00000000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rFonts w:ascii="Helvetica" w:eastAsia="Helvetica" w:hAnsi="Helvetica" w:cs="Helvetica"/>
          <w:sz w:val="18"/>
        </w:rPr>
        <w:t xml:space="preserve"> Minister Rolnictwa i Rozwoju Wsi kieruje działem administracji rządowej - rolnictwo, na podstawie § 1 ust. 2 pkt 1 rozporządzenia Prezesa Rady Ministrów z dnia 18 grudnia 2023 r. w sprawie szczegółowego zakresu działania Ministra Rolnictwa i Rozwoju Wsi (Dz.U. poz. 2706).</w:t>
      </w:r>
    </w:p>
  </w:footnote>
  <w:footnote w:id="2">
    <w:p w14:paraId="1888AA8E" w14:textId="77777777" w:rsidR="00905888" w:rsidRDefault="00000000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rFonts w:ascii="Helvetica" w:eastAsia="Helvetica" w:hAnsi="Helvetica" w:cs="Helvetica"/>
          <w:sz w:val="18"/>
        </w:rPr>
        <w:t xml:space="preserve"> Zmiany wymienionego rozporządzenia zostały ogłoszone w </w:t>
      </w:r>
      <w:proofErr w:type="spellStart"/>
      <w:r>
        <w:rPr>
          <w:rFonts w:ascii="Helvetica" w:eastAsia="Helvetica" w:hAnsi="Helvetica" w:cs="Helvetica"/>
          <w:sz w:val="18"/>
        </w:rPr>
        <w:t>Dz.Urz</w:t>
      </w:r>
      <w:proofErr w:type="spellEnd"/>
      <w:r>
        <w:rPr>
          <w:rFonts w:ascii="Helvetica" w:eastAsia="Helvetica" w:hAnsi="Helvetica" w:cs="Helvetica"/>
          <w:sz w:val="18"/>
        </w:rPr>
        <w:t xml:space="preserve">. UE L 276 z 20.10.2010, str. 33, </w:t>
      </w:r>
      <w:proofErr w:type="spellStart"/>
      <w:r>
        <w:rPr>
          <w:rFonts w:ascii="Helvetica" w:eastAsia="Helvetica" w:hAnsi="Helvetica" w:cs="Helvetica"/>
          <w:sz w:val="18"/>
        </w:rPr>
        <w:t>Dz.Urz</w:t>
      </w:r>
      <w:proofErr w:type="spellEnd"/>
      <w:r>
        <w:rPr>
          <w:rFonts w:ascii="Helvetica" w:eastAsia="Helvetica" w:hAnsi="Helvetica" w:cs="Helvetica"/>
          <w:sz w:val="18"/>
        </w:rPr>
        <w:t xml:space="preserve">. UE L 216 z 14.08.2012, str. 3, </w:t>
      </w:r>
      <w:proofErr w:type="spellStart"/>
      <w:r>
        <w:rPr>
          <w:rFonts w:ascii="Helvetica" w:eastAsia="Helvetica" w:hAnsi="Helvetica" w:cs="Helvetica"/>
          <w:sz w:val="18"/>
        </w:rPr>
        <w:t>Dz.Urz</w:t>
      </w:r>
      <w:proofErr w:type="spellEnd"/>
      <w:r>
        <w:rPr>
          <w:rFonts w:ascii="Helvetica" w:eastAsia="Helvetica" w:hAnsi="Helvetica" w:cs="Helvetica"/>
          <w:sz w:val="18"/>
        </w:rPr>
        <w:t xml:space="preserve">. UE L 354 z 28.12.2013, str. 86, </w:t>
      </w:r>
      <w:proofErr w:type="spellStart"/>
      <w:r>
        <w:rPr>
          <w:rFonts w:ascii="Helvetica" w:eastAsia="Helvetica" w:hAnsi="Helvetica" w:cs="Helvetica"/>
          <w:sz w:val="18"/>
        </w:rPr>
        <w:t>Dz.Urz</w:t>
      </w:r>
      <w:proofErr w:type="spellEnd"/>
      <w:r>
        <w:rPr>
          <w:rFonts w:ascii="Helvetica" w:eastAsia="Helvetica" w:hAnsi="Helvetica" w:cs="Helvetica"/>
          <w:sz w:val="18"/>
        </w:rPr>
        <w:t xml:space="preserve">. UE L 95 z 07.04.2017, str. 1, </w:t>
      </w:r>
      <w:proofErr w:type="spellStart"/>
      <w:r>
        <w:rPr>
          <w:rFonts w:ascii="Helvetica" w:eastAsia="Helvetica" w:hAnsi="Helvetica" w:cs="Helvetica"/>
          <w:sz w:val="18"/>
        </w:rPr>
        <w:t>Dz.Urz</w:t>
      </w:r>
      <w:proofErr w:type="spellEnd"/>
      <w:r>
        <w:rPr>
          <w:rFonts w:ascii="Helvetica" w:eastAsia="Helvetica" w:hAnsi="Helvetica" w:cs="Helvetica"/>
          <w:sz w:val="18"/>
        </w:rPr>
        <w:t xml:space="preserve">. UE L 137 z 24.05.2017, str. 40, </w:t>
      </w:r>
      <w:proofErr w:type="spellStart"/>
      <w:r>
        <w:rPr>
          <w:rFonts w:ascii="Helvetica" w:eastAsia="Helvetica" w:hAnsi="Helvetica" w:cs="Helvetica"/>
          <w:sz w:val="18"/>
        </w:rPr>
        <w:t>Dz.Urz</w:t>
      </w:r>
      <w:proofErr w:type="spellEnd"/>
      <w:r>
        <w:rPr>
          <w:rFonts w:ascii="Helvetica" w:eastAsia="Helvetica" w:hAnsi="Helvetica" w:cs="Helvetica"/>
          <w:sz w:val="18"/>
        </w:rPr>
        <w:t xml:space="preserve">. UE L 130 z 28.05.2018, str. 11, </w:t>
      </w:r>
      <w:proofErr w:type="spellStart"/>
      <w:r>
        <w:rPr>
          <w:rFonts w:ascii="Helvetica" w:eastAsia="Helvetica" w:hAnsi="Helvetica" w:cs="Helvetica"/>
          <w:sz w:val="18"/>
        </w:rPr>
        <w:t>Dz.Urz</w:t>
      </w:r>
      <w:proofErr w:type="spellEnd"/>
      <w:r>
        <w:rPr>
          <w:rFonts w:ascii="Helvetica" w:eastAsia="Helvetica" w:hAnsi="Helvetica" w:cs="Helvetica"/>
          <w:sz w:val="18"/>
        </w:rPr>
        <w:t xml:space="preserve">. UE L 294 z 21.11.2018, str. 44 oraz </w:t>
      </w:r>
      <w:proofErr w:type="spellStart"/>
      <w:r>
        <w:rPr>
          <w:rFonts w:ascii="Helvetica" w:eastAsia="Helvetica" w:hAnsi="Helvetica" w:cs="Helvetica"/>
          <w:sz w:val="18"/>
        </w:rPr>
        <w:t>Dz.Urz</w:t>
      </w:r>
      <w:proofErr w:type="spellEnd"/>
      <w:r>
        <w:rPr>
          <w:rFonts w:ascii="Helvetica" w:eastAsia="Helvetica" w:hAnsi="Helvetica" w:cs="Helvetica"/>
          <w:sz w:val="18"/>
        </w:rPr>
        <w:t>. UE L 170 z 25.06.2019, str. 1.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888"/>
    <w:rsid w:val="001F64AD"/>
    <w:rsid w:val="002013C8"/>
    <w:rsid w:val="00905888"/>
    <w:rsid w:val="0091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B42C2"/>
  <w15:docId w15:val="{DCC9D5A1-09B7-4580-9759-08622414A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1601</Words>
  <Characters>9606</Characters>
  <Application>Microsoft Office Word</Application>
  <DocSecurity>0</DocSecurity>
  <Lines>80</Lines>
  <Paragraphs>22</Paragraphs>
  <ScaleCrop>false</ScaleCrop>
  <Company/>
  <LinksUpToDate>false</LinksUpToDate>
  <CharactersWithSpaces>11185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Zdzisław Czerwiński</cp:lastModifiedBy>
  <cp:revision>2</cp:revision>
  <dcterms:created xsi:type="dcterms:W3CDTF">2025-05-05T08:13:00Z</dcterms:created>
  <dcterms:modified xsi:type="dcterms:W3CDTF">2025-05-05T08:13:00Z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PPL">
    <vt:lpwstr>false</vt:lpwstr>
  </property>
</Properties>
</file>